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AD" w:rsidRDefault="00FD7FAD" w:rsidP="0050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0425" cy="8166024"/>
            <wp:effectExtent l="0" t="0" r="0" b="0"/>
            <wp:docPr id="1" name="Рисунок 1" descr="I:\на сайт - 2\эффект. контракт\пол. о эффективном контра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 - 2\эффект. контракт\пол. о эффективном контрак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AD" w:rsidRDefault="00FD7FAD" w:rsidP="00500282">
      <w:pPr>
        <w:rPr>
          <w:rFonts w:ascii="Times New Roman" w:hAnsi="Times New Roman" w:cs="Times New Roman"/>
          <w:sz w:val="24"/>
          <w:szCs w:val="24"/>
        </w:rPr>
      </w:pPr>
    </w:p>
    <w:p w:rsidR="00FD7FAD" w:rsidRDefault="00FD7FAD" w:rsidP="00500282">
      <w:pPr>
        <w:rPr>
          <w:rFonts w:ascii="Times New Roman" w:hAnsi="Times New Roman" w:cs="Times New Roman"/>
          <w:sz w:val="24"/>
          <w:szCs w:val="24"/>
        </w:rPr>
      </w:pPr>
    </w:p>
    <w:p w:rsidR="00FD7FAD" w:rsidRDefault="00FD7FAD" w:rsidP="00500282">
      <w:pPr>
        <w:rPr>
          <w:rFonts w:ascii="Times New Roman" w:hAnsi="Times New Roman" w:cs="Times New Roman"/>
          <w:sz w:val="24"/>
          <w:szCs w:val="24"/>
        </w:rPr>
      </w:pPr>
    </w:p>
    <w:p w:rsidR="00FD7FAD" w:rsidRDefault="00FD7FAD" w:rsidP="00500282">
      <w:pPr>
        <w:rPr>
          <w:rFonts w:ascii="Times New Roman" w:hAnsi="Times New Roman" w:cs="Times New Roman"/>
          <w:sz w:val="24"/>
          <w:szCs w:val="24"/>
        </w:rPr>
      </w:pPr>
    </w:p>
    <w:p w:rsidR="00FD7FAD" w:rsidRDefault="00FD7FAD" w:rsidP="00500282">
      <w:pPr>
        <w:rPr>
          <w:rFonts w:ascii="Times New Roman" w:hAnsi="Times New Roman" w:cs="Times New Roman"/>
          <w:sz w:val="24"/>
          <w:szCs w:val="24"/>
        </w:rPr>
      </w:pP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1AD">
        <w:rPr>
          <w:rFonts w:ascii="Times New Roman" w:hAnsi="Times New Roman" w:cs="Times New Roman"/>
          <w:sz w:val="24"/>
          <w:szCs w:val="24"/>
        </w:rPr>
        <w:lastRenderedPageBreak/>
        <w:t xml:space="preserve">  Определение эффективного контракта дано в Программе поэтапного совершенствования системы оплаты труда  в государственных (муниципальных) учреждениях на 2012 — 2018 годы,  утвержденной  распоряжением Правительства РФ от 26.11. 2012 г. № 2190-р: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 xml:space="preserve">    «Под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поддержки».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 xml:space="preserve">      Эффективный контракт в полной мере соответствует статье 57 Трудового кодекса РФ и не является новой правовой формой трудового договора.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 xml:space="preserve">     В эффективном контракте в отношении каждого работника должны быть уточнены и конкретизированы: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1.Трудовая функция;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2.Показатели и критерии оценки эффективности деятельности;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3. Размер  и условия стимулирующих выплат,  определенные с учетом рекомендуемых показателей.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При этом условия получения вознаграждения должны быть понятны работодателю и работнику и не допускать двойного толкования. Непосредственно в тексте трудового договора должностные обязанности работника должны быть отражены с учетом действующих обязанностей, установленных должностной инструкцией.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Обязательными условиями, включаемыми в трудовые договоры, являются также  условия оплаты труда (в том числе размер тарифной ставки или оклада (должностного оклада) работника, доплаты, надбавки и поощрительные выплаты). Эффективный контракт предполагает также установление норм труда.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Эффективный контракт должен обеспечивать такой уровень зарплаты педагогического работника, который является конкурентоспособным с другими секторами экономики. Эффективный контракт – это достойная оплата за качественный труд.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 xml:space="preserve">Изменения определенных сторонами условий трудового договора согласно статье 72 ТК РФ допускаются только по соглашению сторон трудового договора, за исключением случаев, предусмотренных ТК РФ, и не должны ухудшать положение работника по сравнению с установленным коллективным договором, соглашениями. </w:t>
      </w:r>
    </w:p>
    <w:p w:rsidR="00500282" w:rsidRPr="000071AD" w:rsidRDefault="000071AD" w:rsidP="0000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A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00282" w:rsidRPr="000071AD">
        <w:rPr>
          <w:rFonts w:ascii="Times New Roman" w:hAnsi="Times New Roman" w:cs="Times New Roman"/>
          <w:b/>
          <w:sz w:val="24"/>
          <w:szCs w:val="24"/>
        </w:rPr>
        <w:t>. О стимулирующих и компенсационных выплатах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Приказом Минтруда России №167н от 26 апреля 2013 г.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а) выплаты за интенсивность и высокие результаты работы: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надбавка за интенсивность труда;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премия за высокие результаты работы;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lastRenderedPageBreak/>
        <w:t>премия за выполнение особо важных и ответственных работ;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б) выплаты за качество выполняемых работ: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надбавка за наличие квалификационной категории;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премия за образцовое выполнение муниципального задания;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в) выплаты за стаж непрерывной работы, выслугу лет: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надбавка за выслугу лет;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надбавка за стаж непрерывной работы;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г) премиальные выплаты по итогам работы: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премия по итогам работы за месяц;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премия по итогам работы за квартал;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премия по итогам работы за год;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е)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доплата за совмещение профессий (должностей);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доплата за расширение зон обслуживания;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доплата за увеличение объема работы;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доплата за выполнение работ различной квалификации;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доплата за работу в ночное время;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ж) 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 договором и соглашениями.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В трудовом договоре или дополнительном соглашении к трудовому договору условия осуществления выплат рекомендуется конкретизировать применительно к данному работнику учреждения.</w:t>
      </w:r>
    </w:p>
    <w:p w:rsidR="00500282" w:rsidRPr="000071AD" w:rsidRDefault="000071AD" w:rsidP="0000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A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00282" w:rsidRPr="000071AD">
        <w:rPr>
          <w:rFonts w:ascii="Times New Roman" w:hAnsi="Times New Roman" w:cs="Times New Roman"/>
          <w:b/>
          <w:sz w:val="24"/>
          <w:szCs w:val="24"/>
        </w:rPr>
        <w:t>. Алгоритм введения эффективного контракта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lastRenderedPageBreak/>
        <w:t>1.Ведение эффективного контракта с педагогом в образовательной организации предполагает осуществление определенной организационной и административной работы: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Проведение  разъяснительной работы в педагогическом коллективе  по вопросам введения эффективного контракта педагога.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Создание в образовательной организации комиссии по проведению работы, связанной с введением эффективного контракта педагога.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Анализ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муниципального учреждения при введении эффективного контракта».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Разработка показателей эффективности труда педагогических работников.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Разработка и внесение изменений в такие локальные акты образовательной организации как коллективный договор, правила внутреннего трудового распорядка,  положение об оплате труда, положение о выплатах стимулирующего характера с учетом разработанных показателей.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Принятие локальных нормативных актов, связанных с оплатой труда работника, с учетом мнения первичной профсоюзной организации.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Конкретизация  трудовой функции и условий оплаты труда педагогических работников.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Подготовка и внесение изменений в трудовые договоры работников.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Уведомление  педагогических работников об изменении определенных условий трудового договора в письменной форме не менее чем за два месяца согласно ст.74 Трудового кодекса РФ.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Работа по введению эффективного контракта должна проводиться в обстановке гласности и обсуждения в трудовом коллективе.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2. Оформление трудовых отношений при введении эффективного контракта осуществляется: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при приеме  на работу работник и работодатель заключают трудовой договор в соответствии с ТК РФ. При этом используется примерная форма трудового договора с работником учреждения, приведенная в приложении № 3 к Программе;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с работниками, состоящими в трудовых отношениях с работодателем, оформление осуществляется путем заключения дополнительного соглашения к трудовому договору в порядке, установленном  ТК РФ. При этом  требуется предупреждение работника об изменении условий трудового договора  в письменном виде не менее</w:t>
      </w:r>
      <w:proofErr w:type="gramStart"/>
      <w:r w:rsidRPr="000071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71AD">
        <w:rPr>
          <w:rFonts w:ascii="Times New Roman" w:hAnsi="Times New Roman" w:cs="Times New Roman"/>
          <w:sz w:val="24"/>
          <w:szCs w:val="24"/>
        </w:rPr>
        <w:t xml:space="preserve"> чем за 2 месяца (статья 74 ТК РФ).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72 Трудового кодекса Российской Федерации  трудовой договор, соглашение об изменении определенных сторонами условий трудового договора заключаются в письменной форме в двух экземплярах, один из которых вручается работнику под роспись на экземпляре, хранящемся у работодателя.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lastRenderedPageBreak/>
        <w:t xml:space="preserve">     Дополнительное соглашение к трудовому договору  заключатся по мере разработки показателей и критериев </w:t>
      </w:r>
      <w:proofErr w:type="gramStart"/>
      <w:r w:rsidRPr="000071AD">
        <w:rPr>
          <w:rFonts w:ascii="Times New Roman" w:hAnsi="Times New Roman" w:cs="Times New Roman"/>
          <w:sz w:val="24"/>
          <w:szCs w:val="24"/>
        </w:rPr>
        <w:t>оценки эффективности труда работников учреждения</w:t>
      </w:r>
      <w:proofErr w:type="gramEnd"/>
      <w:r w:rsidRPr="000071AD">
        <w:rPr>
          <w:rFonts w:ascii="Times New Roman" w:hAnsi="Times New Roman" w:cs="Times New Roman"/>
          <w:sz w:val="24"/>
          <w:szCs w:val="24"/>
        </w:rPr>
        <w:t xml:space="preserve">  для определения размеров и условий осуществления стимулирующих выплат.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71AD">
        <w:rPr>
          <w:rFonts w:ascii="Times New Roman" w:hAnsi="Times New Roman" w:cs="Times New Roman"/>
          <w:sz w:val="24"/>
          <w:szCs w:val="24"/>
        </w:rPr>
        <w:t>В соответствии с Программой завершение работы по заключению трудовых договоров с работниками в связи</w:t>
      </w:r>
      <w:proofErr w:type="gramEnd"/>
      <w:r w:rsidRPr="000071AD">
        <w:rPr>
          <w:rFonts w:ascii="Times New Roman" w:hAnsi="Times New Roman" w:cs="Times New Roman"/>
          <w:sz w:val="24"/>
          <w:szCs w:val="24"/>
        </w:rPr>
        <w:t xml:space="preserve"> с введением эффективного контракта предполагается на третьем  этапе, охватывающем  2016-2018 годы.  </w:t>
      </w:r>
    </w:p>
    <w:p w:rsidR="00500282" w:rsidRPr="000071AD" w:rsidRDefault="000071AD" w:rsidP="0000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A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00282" w:rsidRPr="000071AD">
        <w:rPr>
          <w:rFonts w:ascii="Times New Roman" w:hAnsi="Times New Roman" w:cs="Times New Roman"/>
          <w:b/>
          <w:sz w:val="24"/>
          <w:szCs w:val="24"/>
        </w:rPr>
        <w:t>. Что даёт введение эффективного контракта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Как сказано в Программе, ее реализация позволит: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повысить престижность и привлекательность профессий работников, участвующих в оказании муниципальных услуг (выполнении работ);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внедрить в учреждениях системы оплаты труда работников, увязанные с качеством оказания муниципальных услуг (выполнения работ);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повысить уровень квалификации работников, участвующих в оказании муниципальных услуг (выполнении работ);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>повысить качество оказания муниципальных услуг (выполнения работ) в социальной сфере;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 xml:space="preserve">создать прозрачный механизм оплаты труда руководителей учреждений.   </w:t>
      </w:r>
    </w:p>
    <w:p w:rsidR="00500282" w:rsidRPr="000071AD" w:rsidRDefault="000071AD" w:rsidP="0000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A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00282" w:rsidRPr="000071AD">
        <w:rPr>
          <w:rFonts w:ascii="Times New Roman" w:hAnsi="Times New Roman" w:cs="Times New Roman"/>
          <w:b/>
          <w:sz w:val="24"/>
          <w:szCs w:val="24"/>
        </w:rPr>
        <w:t xml:space="preserve">. Трудовой договор </w:t>
      </w:r>
      <w:r w:rsidRPr="000071AD">
        <w:rPr>
          <w:rFonts w:ascii="Times New Roman" w:hAnsi="Times New Roman" w:cs="Times New Roman"/>
          <w:b/>
          <w:sz w:val="24"/>
          <w:szCs w:val="24"/>
        </w:rPr>
        <w:t>с руководителем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29 декабря 2012 г. № 280-ФЗ статья 275 Трудового кодекса РФ дополнена положением, согласно которому трудовой договор с руководителем муниципального учреждения заключается на основе типовой формы трудового договора, утверждённой Правительством Российской Федерации с учётом мнения Российской трёхсторонней комиссии по регулированию социально-трудовых отношений.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 xml:space="preserve">      В настоящее время типовая форма такого трудового договора утверждена Постановлением Правительства РФ от 12 апреля 2013 г.№ 329 «О типовой форме трудового договора с руководителями муниципального учреждения».</w:t>
      </w:r>
    </w:p>
    <w:p w:rsidR="00500282" w:rsidRPr="000071AD" w:rsidRDefault="00500282" w:rsidP="00500282">
      <w:pPr>
        <w:rPr>
          <w:rFonts w:ascii="Times New Roman" w:hAnsi="Times New Roman" w:cs="Times New Roman"/>
          <w:sz w:val="24"/>
          <w:szCs w:val="24"/>
        </w:rPr>
      </w:pPr>
      <w:r w:rsidRPr="000071AD">
        <w:rPr>
          <w:rFonts w:ascii="Times New Roman" w:hAnsi="Times New Roman" w:cs="Times New Roman"/>
          <w:sz w:val="24"/>
          <w:szCs w:val="24"/>
        </w:rPr>
        <w:t xml:space="preserve">    Трудовой договор на основе типовой формы заключается с лицом, претендующим на замещение должности руководителя муниципального учреждения.</w:t>
      </w:r>
    </w:p>
    <w:p w:rsidR="0065171D" w:rsidRDefault="00500282" w:rsidP="00500282">
      <w:r w:rsidRPr="000071AD">
        <w:rPr>
          <w:rFonts w:ascii="Times New Roman" w:hAnsi="Times New Roman" w:cs="Times New Roman"/>
          <w:sz w:val="24"/>
          <w:szCs w:val="24"/>
        </w:rPr>
        <w:t xml:space="preserve">      С теми руководителями, которые уже состоят в трудовых отношениях, либо заключается дополнительное соглашение к действующему трудовому договору, либо по соглашению сторон подписывается новый трудовой договор на основе типовой формы, утвержденной Постановлением Правительства РФ от 12 ап</w:t>
      </w:r>
      <w:r>
        <w:t>реля 2013 г.№ 329.</w:t>
      </w:r>
    </w:p>
    <w:sectPr w:rsidR="0065171D" w:rsidSect="00007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C02"/>
    <w:multiLevelType w:val="hybridMultilevel"/>
    <w:tmpl w:val="D3F2A746"/>
    <w:lvl w:ilvl="0" w:tplc="F01E3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885"/>
    <w:multiLevelType w:val="hybridMultilevel"/>
    <w:tmpl w:val="002C0230"/>
    <w:lvl w:ilvl="0" w:tplc="B27CCB4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E140A"/>
    <w:multiLevelType w:val="hybridMultilevel"/>
    <w:tmpl w:val="BADAB6AC"/>
    <w:lvl w:ilvl="0" w:tplc="13D671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7114"/>
    <w:multiLevelType w:val="hybridMultilevel"/>
    <w:tmpl w:val="9B0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282"/>
    <w:rsid w:val="000071AD"/>
    <w:rsid w:val="000336F4"/>
    <w:rsid w:val="000531ED"/>
    <w:rsid w:val="00061FA6"/>
    <w:rsid w:val="000622D5"/>
    <w:rsid w:val="00070F0B"/>
    <w:rsid w:val="000751EC"/>
    <w:rsid w:val="000808CD"/>
    <w:rsid w:val="00081826"/>
    <w:rsid w:val="000856BD"/>
    <w:rsid w:val="000A7564"/>
    <w:rsid w:val="000A7DDD"/>
    <w:rsid w:val="000B5168"/>
    <w:rsid w:val="000C2A1B"/>
    <w:rsid w:val="000E1A0C"/>
    <w:rsid w:val="00113221"/>
    <w:rsid w:val="00120B64"/>
    <w:rsid w:val="00121894"/>
    <w:rsid w:val="00147B1A"/>
    <w:rsid w:val="001600BC"/>
    <w:rsid w:val="00162955"/>
    <w:rsid w:val="00182B8E"/>
    <w:rsid w:val="00194368"/>
    <w:rsid w:val="00196AFE"/>
    <w:rsid w:val="001A44A1"/>
    <w:rsid w:val="001A46AC"/>
    <w:rsid w:val="001B3565"/>
    <w:rsid w:val="001B5E09"/>
    <w:rsid w:val="001E3115"/>
    <w:rsid w:val="001F3621"/>
    <w:rsid w:val="001F6C52"/>
    <w:rsid w:val="00202C1D"/>
    <w:rsid w:val="00205F0C"/>
    <w:rsid w:val="00206732"/>
    <w:rsid w:val="00206BD9"/>
    <w:rsid w:val="00210A2A"/>
    <w:rsid w:val="00212DEC"/>
    <w:rsid w:val="00213567"/>
    <w:rsid w:val="00213D13"/>
    <w:rsid w:val="00216117"/>
    <w:rsid w:val="00224417"/>
    <w:rsid w:val="00231CFB"/>
    <w:rsid w:val="00233751"/>
    <w:rsid w:val="00236712"/>
    <w:rsid w:val="002554EA"/>
    <w:rsid w:val="002A3480"/>
    <w:rsid w:val="002B0BDB"/>
    <w:rsid w:val="002B619A"/>
    <w:rsid w:val="002B7C36"/>
    <w:rsid w:val="002F257B"/>
    <w:rsid w:val="00307AC9"/>
    <w:rsid w:val="0031731D"/>
    <w:rsid w:val="00323626"/>
    <w:rsid w:val="00341D62"/>
    <w:rsid w:val="003435B0"/>
    <w:rsid w:val="00356D83"/>
    <w:rsid w:val="00372F39"/>
    <w:rsid w:val="003829DE"/>
    <w:rsid w:val="003962F5"/>
    <w:rsid w:val="003A2AAF"/>
    <w:rsid w:val="003B0790"/>
    <w:rsid w:val="003B31A0"/>
    <w:rsid w:val="003C5DF8"/>
    <w:rsid w:val="003D2730"/>
    <w:rsid w:val="003D7DAE"/>
    <w:rsid w:val="003E30DE"/>
    <w:rsid w:val="003E5FD9"/>
    <w:rsid w:val="004062A6"/>
    <w:rsid w:val="00413585"/>
    <w:rsid w:val="00417916"/>
    <w:rsid w:val="00424C95"/>
    <w:rsid w:val="0043057C"/>
    <w:rsid w:val="00434703"/>
    <w:rsid w:val="00436EC7"/>
    <w:rsid w:val="00441AE9"/>
    <w:rsid w:val="00445B11"/>
    <w:rsid w:val="0045677A"/>
    <w:rsid w:val="00456E57"/>
    <w:rsid w:val="004606FC"/>
    <w:rsid w:val="004678DA"/>
    <w:rsid w:val="0047599A"/>
    <w:rsid w:val="0048017B"/>
    <w:rsid w:val="00481ECC"/>
    <w:rsid w:val="00487EDA"/>
    <w:rsid w:val="00491A52"/>
    <w:rsid w:val="0049366E"/>
    <w:rsid w:val="00494024"/>
    <w:rsid w:val="004A4D29"/>
    <w:rsid w:val="004B023D"/>
    <w:rsid w:val="004D71A2"/>
    <w:rsid w:val="004E6682"/>
    <w:rsid w:val="004E7FC4"/>
    <w:rsid w:val="004F6917"/>
    <w:rsid w:val="00500282"/>
    <w:rsid w:val="00504B23"/>
    <w:rsid w:val="00514DA0"/>
    <w:rsid w:val="00520554"/>
    <w:rsid w:val="00543819"/>
    <w:rsid w:val="00543BA0"/>
    <w:rsid w:val="00574901"/>
    <w:rsid w:val="00575143"/>
    <w:rsid w:val="00577540"/>
    <w:rsid w:val="005775DE"/>
    <w:rsid w:val="00581405"/>
    <w:rsid w:val="0058266E"/>
    <w:rsid w:val="005B0933"/>
    <w:rsid w:val="005E3C5B"/>
    <w:rsid w:val="005F3F2E"/>
    <w:rsid w:val="00603A46"/>
    <w:rsid w:val="00620D4F"/>
    <w:rsid w:val="00623E44"/>
    <w:rsid w:val="006320BE"/>
    <w:rsid w:val="00635CDC"/>
    <w:rsid w:val="00640B45"/>
    <w:rsid w:val="0064321A"/>
    <w:rsid w:val="0065171D"/>
    <w:rsid w:val="00656A8D"/>
    <w:rsid w:val="00661057"/>
    <w:rsid w:val="00683B94"/>
    <w:rsid w:val="0068494E"/>
    <w:rsid w:val="00691FA2"/>
    <w:rsid w:val="00693F28"/>
    <w:rsid w:val="006949B5"/>
    <w:rsid w:val="006A3F64"/>
    <w:rsid w:val="006A4093"/>
    <w:rsid w:val="006B0EA9"/>
    <w:rsid w:val="006B2B0C"/>
    <w:rsid w:val="006D2F82"/>
    <w:rsid w:val="006D6CF9"/>
    <w:rsid w:val="006E1A42"/>
    <w:rsid w:val="006E1E48"/>
    <w:rsid w:val="006F0230"/>
    <w:rsid w:val="006F193C"/>
    <w:rsid w:val="006F3FD6"/>
    <w:rsid w:val="00720BB2"/>
    <w:rsid w:val="007426A1"/>
    <w:rsid w:val="007500E5"/>
    <w:rsid w:val="00760B61"/>
    <w:rsid w:val="007715E0"/>
    <w:rsid w:val="00774BB8"/>
    <w:rsid w:val="007809B6"/>
    <w:rsid w:val="007914EA"/>
    <w:rsid w:val="007A2770"/>
    <w:rsid w:val="007A3643"/>
    <w:rsid w:val="007B14CF"/>
    <w:rsid w:val="007D21D6"/>
    <w:rsid w:val="007D611A"/>
    <w:rsid w:val="007E1008"/>
    <w:rsid w:val="0080777B"/>
    <w:rsid w:val="008112AA"/>
    <w:rsid w:val="008221D2"/>
    <w:rsid w:val="008310D7"/>
    <w:rsid w:val="0083480A"/>
    <w:rsid w:val="00842F65"/>
    <w:rsid w:val="00852CF3"/>
    <w:rsid w:val="008552D9"/>
    <w:rsid w:val="0086041D"/>
    <w:rsid w:val="008705F6"/>
    <w:rsid w:val="00872FD3"/>
    <w:rsid w:val="008739B9"/>
    <w:rsid w:val="00874993"/>
    <w:rsid w:val="008A6171"/>
    <w:rsid w:val="008A628D"/>
    <w:rsid w:val="008C45BA"/>
    <w:rsid w:val="008C5A2E"/>
    <w:rsid w:val="008D3C83"/>
    <w:rsid w:val="008F70A4"/>
    <w:rsid w:val="0090669D"/>
    <w:rsid w:val="00910A6D"/>
    <w:rsid w:val="00911653"/>
    <w:rsid w:val="009315EA"/>
    <w:rsid w:val="00934A18"/>
    <w:rsid w:val="0094038F"/>
    <w:rsid w:val="009408FF"/>
    <w:rsid w:val="00947037"/>
    <w:rsid w:val="0095667B"/>
    <w:rsid w:val="00963750"/>
    <w:rsid w:val="009661E4"/>
    <w:rsid w:val="00971E7F"/>
    <w:rsid w:val="00973B33"/>
    <w:rsid w:val="00973F2E"/>
    <w:rsid w:val="00973FF8"/>
    <w:rsid w:val="00985391"/>
    <w:rsid w:val="00996B54"/>
    <w:rsid w:val="009A106F"/>
    <w:rsid w:val="009A59A6"/>
    <w:rsid w:val="009C28D3"/>
    <w:rsid w:val="009D2987"/>
    <w:rsid w:val="009D2A91"/>
    <w:rsid w:val="00A0407D"/>
    <w:rsid w:val="00A15DDC"/>
    <w:rsid w:val="00A20737"/>
    <w:rsid w:val="00A2599A"/>
    <w:rsid w:val="00A27589"/>
    <w:rsid w:val="00A3040E"/>
    <w:rsid w:val="00A35F3D"/>
    <w:rsid w:val="00A420C3"/>
    <w:rsid w:val="00A4656B"/>
    <w:rsid w:val="00A50B4D"/>
    <w:rsid w:val="00A54950"/>
    <w:rsid w:val="00A56FEB"/>
    <w:rsid w:val="00A64368"/>
    <w:rsid w:val="00A64859"/>
    <w:rsid w:val="00A75113"/>
    <w:rsid w:val="00A8064D"/>
    <w:rsid w:val="00A8109B"/>
    <w:rsid w:val="00A95902"/>
    <w:rsid w:val="00AA1B92"/>
    <w:rsid w:val="00AB620C"/>
    <w:rsid w:val="00AB7247"/>
    <w:rsid w:val="00AC063E"/>
    <w:rsid w:val="00AD2A99"/>
    <w:rsid w:val="00AE51F3"/>
    <w:rsid w:val="00AE6818"/>
    <w:rsid w:val="00AF11A3"/>
    <w:rsid w:val="00B01D3A"/>
    <w:rsid w:val="00B41FCC"/>
    <w:rsid w:val="00B53C7C"/>
    <w:rsid w:val="00B72684"/>
    <w:rsid w:val="00B74049"/>
    <w:rsid w:val="00B75CEF"/>
    <w:rsid w:val="00B870A9"/>
    <w:rsid w:val="00BA121A"/>
    <w:rsid w:val="00BB53BD"/>
    <w:rsid w:val="00BB7670"/>
    <w:rsid w:val="00BC187B"/>
    <w:rsid w:val="00BC45FE"/>
    <w:rsid w:val="00BF66CC"/>
    <w:rsid w:val="00C2241C"/>
    <w:rsid w:val="00C33CAA"/>
    <w:rsid w:val="00C45841"/>
    <w:rsid w:val="00C506D5"/>
    <w:rsid w:val="00C6110E"/>
    <w:rsid w:val="00C64E1D"/>
    <w:rsid w:val="00C80296"/>
    <w:rsid w:val="00CA0B12"/>
    <w:rsid w:val="00CA269D"/>
    <w:rsid w:val="00CB0120"/>
    <w:rsid w:val="00CB07FA"/>
    <w:rsid w:val="00CC04B8"/>
    <w:rsid w:val="00CC0AF2"/>
    <w:rsid w:val="00CC1E58"/>
    <w:rsid w:val="00CD16D2"/>
    <w:rsid w:val="00CE7DEF"/>
    <w:rsid w:val="00CF3731"/>
    <w:rsid w:val="00D0125C"/>
    <w:rsid w:val="00D05141"/>
    <w:rsid w:val="00D17DAF"/>
    <w:rsid w:val="00D3290F"/>
    <w:rsid w:val="00D33B18"/>
    <w:rsid w:val="00D602FE"/>
    <w:rsid w:val="00D6449A"/>
    <w:rsid w:val="00D715AA"/>
    <w:rsid w:val="00D82C9A"/>
    <w:rsid w:val="00D8310E"/>
    <w:rsid w:val="00DB2EE1"/>
    <w:rsid w:val="00DD0E52"/>
    <w:rsid w:val="00DD367A"/>
    <w:rsid w:val="00DE6696"/>
    <w:rsid w:val="00DE711A"/>
    <w:rsid w:val="00E00FAB"/>
    <w:rsid w:val="00E01907"/>
    <w:rsid w:val="00E31EB0"/>
    <w:rsid w:val="00E35C22"/>
    <w:rsid w:val="00E45739"/>
    <w:rsid w:val="00E54BD3"/>
    <w:rsid w:val="00E556F2"/>
    <w:rsid w:val="00E56A42"/>
    <w:rsid w:val="00E57FF5"/>
    <w:rsid w:val="00E73F6E"/>
    <w:rsid w:val="00E8457D"/>
    <w:rsid w:val="00E903A1"/>
    <w:rsid w:val="00E93499"/>
    <w:rsid w:val="00E969DB"/>
    <w:rsid w:val="00EC2ABA"/>
    <w:rsid w:val="00ED0BDB"/>
    <w:rsid w:val="00ED0C75"/>
    <w:rsid w:val="00EE6E5F"/>
    <w:rsid w:val="00EF525D"/>
    <w:rsid w:val="00F040F5"/>
    <w:rsid w:val="00F06095"/>
    <w:rsid w:val="00F06739"/>
    <w:rsid w:val="00F07667"/>
    <w:rsid w:val="00F11BE5"/>
    <w:rsid w:val="00F40EC5"/>
    <w:rsid w:val="00F42D56"/>
    <w:rsid w:val="00F456AA"/>
    <w:rsid w:val="00F625D0"/>
    <w:rsid w:val="00F75D2B"/>
    <w:rsid w:val="00F84315"/>
    <w:rsid w:val="00F849BD"/>
    <w:rsid w:val="00F8736F"/>
    <w:rsid w:val="00F87DCC"/>
    <w:rsid w:val="00F9154D"/>
    <w:rsid w:val="00F94DAA"/>
    <w:rsid w:val="00FC207A"/>
    <w:rsid w:val="00FC2E0B"/>
    <w:rsid w:val="00FD049D"/>
    <w:rsid w:val="00FD531C"/>
    <w:rsid w:val="00FD7FAD"/>
    <w:rsid w:val="00FE4B12"/>
    <w:rsid w:val="00FF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50"/>
    <w:pPr>
      <w:ind w:left="720"/>
      <w:contextualSpacing/>
    </w:pPr>
  </w:style>
  <w:style w:type="paragraph" w:styleId="a4">
    <w:name w:val="No Spacing"/>
    <w:uiPriority w:val="1"/>
    <w:qFormat/>
    <w:rsid w:val="000071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50"/>
    <w:pPr>
      <w:ind w:left="720"/>
      <w:contextualSpacing/>
    </w:pPr>
  </w:style>
  <w:style w:type="paragraph" w:styleId="a4">
    <w:name w:val="No Spacing"/>
    <w:uiPriority w:val="1"/>
    <w:qFormat/>
    <w:rsid w:val="00007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4</cp:revision>
  <cp:lastPrinted>2016-09-19T06:36:00Z</cp:lastPrinted>
  <dcterms:created xsi:type="dcterms:W3CDTF">2016-09-19T02:48:00Z</dcterms:created>
  <dcterms:modified xsi:type="dcterms:W3CDTF">2017-04-02T10:49:00Z</dcterms:modified>
</cp:coreProperties>
</file>